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Call for Papers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Special Issue of TESOL Communications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Technology Enhanced TESOL for ESL/EFL Learners: DDL, AI, and Language Assessment</w:t>
      </w:r>
    </w:p>
    <w:p w:rsidR="00C00D90" w:rsidRPr="00C00D90" w:rsidRDefault="00C00D90" w:rsidP="006910B5">
      <w:pPr>
        <w:spacing w:line="240" w:lineRule="exact"/>
        <w:rPr>
          <w:rFonts w:ascii="Times New Roman" w:hAnsi="Times New Roman" w:cs="Times New Roman"/>
        </w:rPr>
      </w:pPr>
      <w:r w:rsidRPr="00C00D90">
        <w:rPr>
          <w:rFonts w:ascii="Times New Roman" w:hAnsi="Times New Roman" w:cs="Times New Roman"/>
        </w:rPr>
        <w:t>Guest Editors</w:t>
      </w:r>
    </w:p>
    <w:p w:rsidR="00C00D90" w:rsidRPr="00C00D90" w:rsidRDefault="00C00D90" w:rsidP="006910B5">
      <w:pPr>
        <w:widowControl/>
        <w:numPr>
          <w:ilvl w:val="0"/>
          <w:numId w:val="1"/>
        </w:numPr>
        <w:spacing w:before="100" w:beforeAutospacing="1" w:after="100" w:afterAutospacing="1" w:line="240" w:lineRule="exact"/>
        <w:jc w:val="both"/>
        <w:rPr>
          <w:rFonts w:ascii="Times New Roman" w:eastAsia="新細明體" w:hAnsi="Times New Roman" w:cs="Times New Roman"/>
          <w:kern w:val="0"/>
          <w:szCs w:val="24"/>
        </w:rPr>
      </w:pPr>
      <w:proofErr w:type="spellStart"/>
      <w:r w:rsidRPr="00C00D90">
        <w:rPr>
          <w:rFonts w:ascii="Times New Roman" w:eastAsia="新細明體" w:hAnsi="Times New Roman" w:cs="Times New Roman"/>
          <w:b/>
          <w:bCs/>
          <w:kern w:val="0"/>
          <w:szCs w:val="24"/>
        </w:rPr>
        <w:t>Siaw</w:t>
      </w:r>
      <w:proofErr w:type="spellEnd"/>
      <w:r w:rsidRPr="00C00D90">
        <w:rPr>
          <w:rFonts w:ascii="Times New Roman" w:eastAsia="新細明體" w:hAnsi="Times New Roman" w:cs="Times New Roman"/>
          <w:b/>
          <w:bCs/>
          <w:kern w:val="0"/>
          <w:szCs w:val="24"/>
        </w:rPr>
        <w:t>-Fong Chung</w:t>
      </w:r>
      <w:r w:rsidRPr="00C00D90">
        <w:rPr>
          <w:rFonts w:ascii="Times New Roman" w:eastAsia="新細明體" w:hAnsi="Times New Roman" w:cs="Times New Roman"/>
          <w:kern w:val="0"/>
          <w:szCs w:val="24"/>
        </w:rPr>
        <w:t xml:space="preserve">, National </w:t>
      </w:r>
      <w:proofErr w:type="spellStart"/>
      <w:r w:rsidRPr="00C00D90">
        <w:rPr>
          <w:rFonts w:ascii="Times New Roman" w:eastAsia="新細明體" w:hAnsi="Times New Roman" w:cs="Times New Roman"/>
          <w:kern w:val="0"/>
          <w:szCs w:val="24"/>
        </w:rPr>
        <w:t>Chengchi</w:t>
      </w:r>
      <w:proofErr w:type="spellEnd"/>
      <w:r w:rsidRPr="00C00D90">
        <w:rPr>
          <w:rFonts w:ascii="Times New Roman" w:eastAsia="新細明體" w:hAnsi="Times New Roman" w:cs="Times New Roman"/>
          <w:kern w:val="0"/>
          <w:szCs w:val="24"/>
        </w:rPr>
        <w:t xml:space="preserve"> University, Taiwan (</w:t>
      </w:r>
      <w:hyperlink r:id="rId5" w:history="1">
        <w:r w:rsidRPr="00C00D90">
          <w:rPr>
            <w:rStyle w:val="a3"/>
            <w:rFonts w:ascii="Times New Roman" w:eastAsia="新細明體" w:hAnsi="Times New Roman" w:cs="Times New Roman"/>
            <w:kern w:val="0"/>
            <w:szCs w:val="24"/>
          </w:rPr>
          <w:t>sfchung@nccu.edu.tw</w:t>
        </w:r>
      </w:hyperlink>
      <w:r w:rsidRPr="00C00D90">
        <w:rPr>
          <w:rFonts w:ascii="Times New Roman" w:eastAsia="新細明體" w:hAnsi="Times New Roman" w:cs="Times New Roman"/>
          <w:kern w:val="0"/>
          <w:szCs w:val="24"/>
        </w:rPr>
        <w:t>)</w:t>
      </w:r>
    </w:p>
    <w:p w:rsidR="00C00D90" w:rsidRPr="00C00D90" w:rsidRDefault="00C00D90" w:rsidP="006910B5">
      <w:pPr>
        <w:widowControl/>
        <w:numPr>
          <w:ilvl w:val="0"/>
          <w:numId w:val="1"/>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Benjamin Beaumont</w:t>
      </w:r>
      <w:r w:rsidRPr="00C00D90">
        <w:rPr>
          <w:rFonts w:ascii="Times New Roman" w:eastAsia="新細明體" w:hAnsi="Times New Roman" w:cs="Times New Roman"/>
          <w:kern w:val="0"/>
          <w:szCs w:val="24"/>
        </w:rPr>
        <w:t>, Trinity College London, United Kingdom (</w:t>
      </w:r>
      <w:hyperlink r:id="rId6" w:history="1">
        <w:r w:rsidRPr="00C00D90">
          <w:rPr>
            <w:rStyle w:val="a3"/>
            <w:rFonts w:ascii="Times New Roman" w:eastAsia="新細明體" w:hAnsi="Times New Roman" w:cs="Times New Roman"/>
            <w:kern w:val="0"/>
            <w:szCs w:val="24"/>
          </w:rPr>
          <w:t>Ben.Beaumont@trinitycollege.com</w:t>
        </w:r>
      </w:hyperlink>
      <w:r w:rsidRPr="00C00D90">
        <w:rPr>
          <w:rFonts w:ascii="Times New Roman" w:eastAsia="新細明體" w:hAnsi="Times New Roman" w:cs="Times New Roman"/>
          <w:kern w:val="0"/>
          <w:szCs w:val="24"/>
        </w:rPr>
        <w:t>)</w:t>
      </w:r>
    </w:p>
    <w:p w:rsidR="00C00D90" w:rsidRPr="00C00D90" w:rsidRDefault="00C00D90" w:rsidP="006910B5">
      <w:pPr>
        <w:widowControl/>
        <w:numPr>
          <w:ilvl w:val="0"/>
          <w:numId w:val="1"/>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 xml:space="preserve">Ali </w:t>
      </w:r>
      <w:proofErr w:type="spellStart"/>
      <w:r w:rsidRPr="00C00D90">
        <w:rPr>
          <w:rFonts w:ascii="Times New Roman" w:eastAsia="新細明體" w:hAnsi="Times New Roman" w:cs="Times New Roman"/>
          <w:b/>
          <w:bCs/>
          <w:kern w:val="0"/>
          <w:szCs w:val="24"/>
        </w:rPr>
        <w:t>Zahabi</w:t>
      </w:r>
      <w:proofErr w:type="spellEnd"/>
      <w:r w:rsidRPr="00C00D90">
        <w:rPr>
          <w:rFonts w:ascii="Times New Roman" w:eastAsia="新細明體" w:hAnsi="Times New Roman" w:cs="Times New Roman"/>
          <w:kern w:val="0"/>
          <w:szCs w:val="24"/>
        </w:rPr>
        <w:t>, King Mongkut's University of Technology Thonburi, Bangkok, Thailand (</w:t>
      </w:r>
      <w:hyperlink r:id="rId7" w:history="1">
        <w:r w:rsidRPr="00C00D90">
          <w:rPr>
            <w:rStyle w:val="a3"/>
            <w:rFonts w:ascii="Times New Roman" w:eastAsia="新細明體" w:hAnsi="Times New Roman" w:cs="Times New Roman"/>
            <w:kern w:val="0"/>
            <w:szCs w:val="24"/>
          </w:rPr>
          <w:t>ali.zaha@kmutt.ac.th</w:t>
        </w:r>
      </w:hyperlink>
      <w:r w:rsidRPr="00C00D90">
        <w:rPr>
          <w:rFonts w:ascii="Times New Roman" w:eastAsia="新細明體" w:hAnsi="Times New Roman" w:cs="Times New Roman"/>
          <w:kern w:val="0"/>
          <w:szCs w:val="24"/>
        </w:rPr>
        <w:t>)</w:t>
      </w: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Rationale and Significance</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This special issue highlights how English language teaching, learning, and assessment are being reshaped by advances such as Data-Driven Learning (DDL), Artificial Intelligence (AI), and other emerging technologies. These tools create inclusive, developmentally appropriate opportunities for learner engagement, timely feedback, and effective assessment in multicultural and multilingual contexts.</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Research on DDL has consistently shown the benefits of corpus-based approaches in helping learners notice patterns, develop autonomy, and engage in inductive learning. Johns (1991) first introduced classroom </w:t>
      </w:r>
      <w:proofErr w:type="spellStart"/>
      <w:r w:rsidRPr="00C00D90">
        <w:rPr>
          <w:rFonts w:ascii="Times New Roman" w:eastAsia="新細明體" w:hAnsi="Times New Roman" w:cs="Times New Roman"/>
          <w:kern w:val="0"/>
          <w:szCs w:val="24"/>
        </w:rPr>
        <w:t>concordancing</w:t>
      </w:r>
      <w:proofErr w:type="spellEnd"/>
      <w:r w:rsidRPr="00C00D90">
        <w:rPr>
          <w:rFonts w:ascii="Times New Roman" w:eastAsia="新細明體" w:hAnsi="Times New Roman" w:cs="Times New Roman"/>
          <w:kern w:val="0"/>
          <w:szCs w:val="24"/>
        </w:rPr>
        <w:t xml:space="preserve">, and </w:t>
      </w:r>
      <w:proofErr w:type="spellStart"/>
      <w:r w:rsidRPr="00C00D90">
        <w:rPr>
          <w:rFonts w:ascii="Times New Roman" w:eastAsia="新細明體" w:hAnsi="Times New Roman" w:cs="Times New Roman"/>
          <w:kern w:val="0"/>
          <w:szCs w:val="24"/>
        </w:rPr>
        <w:t>Boulton</w:t>
      </w:r>
      <w:proofErr w:type="spellEnd"/>
      <w:r w:rsidRPr="00C00D90">
        <w:rPr>
          <w:rFonts w:ascii="Times New Roman" w:eastAsia="新細明體" w:hAnsi="Times New Roman" w:cs="Times New Roman"/>
          <w:kern w:val="0"/>
          <w:szCs w:val="24"/>
        </w:rPr>
        <w:t xml:space="preserve"> and Cobb (2017) confirmed through meta-analysis that corpus consultation improves language awareness and retention.</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widowControl/>
        <w:spacing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AI-powered applications have also transformed TESOL by enabling formative feedback, adaptive learning pathways, and interactive scaffolding. Studies have shown that intelligent feedback systems, </w:t>
      </w:r>
      <w:proofErr w:type="spellStart"/>
      <w:r w:rsidRPr="00C00D90">
        <w:rPr>
          <w:rFonts w:ascii="Times New Roman" w:eastAsia="新細明體" w:hAnsi="Times New Roman" w:cs="Times New Roman"/>
          <w:kern w:val="0"/>
          <w:szCs w:val="24"/>
        </w:rPr>
        <w:t>chatbots</w:t>
      </w:r>
      <w:proofErr w:type="spellEnd"/>
      <w:r w:rsidRPr="00C00D90">
        <w:rPr>
          <w:rFonts w:ascii="Times New Roman" w:eastAsia="新細明體" w:hAnsi="Times New Roman" w:cs="Times New Roman"/>
          <w:kern w:val="0"/>
          <w:szCs w:val="24"/>
        </w:rPr>
        <w:t>, and adaptive platforms can improve writing accuracy and feedback literacy (</w:t>
      </w:r>
      <w:proofErr w:type="spellStart"/>
      <w:r w:rsidRPr="00C00D90">
        <w:rPr>
          <w:rFonts w:ascii="Times New Roman" w:eastAsia="新細明體" w:hAnsi="Times New Roman" w:cs="Times New Roman"/>
          <w:kern w:val="0"/>
          <w:szCs w:val="24"/>
        </w:rPr>
        <w:t>Berendt</w:t>
      </w:r>
      <w:proofErr w:type="spellEnd"/>
      <w:r w:rsidRPr="00C00D90">
        <w:rPr>
          <w:rFonts w:ascii="Times New Roman" w:eastAsia="新細明體" w:hAnsi="Times New Roman" w:cs="Times New Roman"/>
          <w:kern w:val="0"/>
          <w:szCs w:val="24"/>
        </w:rPr>
        <w:t xml:space="preserve">, Littlejohn, &amp; Blakemore, 2020; Godwin-Jones, 2021). </w:t>
      </w:r>
      <w:proofErr w:type="spellStart"/>
      <w:r w:rsidRPr="00C00D90">
        <w:rPr>
          <w:rFonts w:ascii="Times New Roman" w:eastAsia="新細明體" w:hAnsi="Times New Roman" w:cs="Times New Roman"/>
          <w:kern w:val="0"/>
          <w:szCs w:val="24"/>
        </w:rPr>
        <w:t>Zhai</w:t>
      </w:r>
      <w:proofErr w:type="spellEnd"/>
      <w:r w:rsidRPr="00C00D90">
        <w:rPr>
          <w:rFonts w:ascii="Times New Roman" w:eastAsia="新細明體" w:hAnsi="Times New Roman" w:cs="Times New Roman"/>
          <w:kern w:val="0"/>
          <w:szCs w:val="24"/>
        </w:rPr>
        <w:t xml:space="preserve"> et al. (2021) reviewed a decade of AI in education and emphasized its role in personalization, learner engagement, and scaffolding.</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widowControl/>
        <w:spacing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In addition, research on digital and multimodal interaction demonstrates how technologies enhance participation and collaboration in online and blended classrooms. </w:t>
      </w:r>
      <w:proofErr w:type="spellStart"/>
      <w:r w:rsidRPr="00C00D90">
        <w:rPr>
          <w:rFonts w:ascii="Times New Roman" w:eastAsia="新細明體" w:hAnsi="Times New Roman" w:cs="Times New Roman"/>
          <w:kern w:val="0"/>
          <w:szCs w:val="24"/>
        </w:rPr>
        <w:t>Hampel</w:t>
      </w:r>
      <w:proofErr w:type="spellEnd"/>
      <w:r w:rsidRPr="00C00D90">
        <w:rPr>
          <w:rFonts w:ascii="Times New Roman" w:eastAsia="新細明體" w:hAnsi="Times New Roman" w:cs="Times New Roman"/>
          <w:kern w:val="0"/>
          <w:szCs w:val="24"/>
        </w:rPr>
        <w:t xml:space="preserve"> and Stickler (2012) highlighted the role of videoconferencing for multimodal interaction, while </w:t>
      </w:r>
      <w:proofErr w:type="spellStart"/>
      <w:r w:rsidRPr="00C00D90">
        <w:rPr>
          <w:rFonts w:ascii="Times New Roman" w:eastAsia="新細明體" w:hAnsi="Times New Roman" w:cs="Times New Roman"/>
          <w:kern w:val="0"/>
          <w:szCs w:val="24"/>
        </w:rPr>
        <w:t>Warschauer</w:t>
      </w:r>
      <w:proofErr w:type="spellEnd"/>
      <w:r w:rsidRPr="00C00D90">
        <w:rPr>
          <w:rFonts w:ascii="Times New Roman" w:eastAsia="新細明體" w:hAnsi="Times New Roman" w:cs="Times New Roman"/>
          <w:kern w:val="0"/>
          <w:szCs w:val="24"/>
        </w:rPr>
        <w:t xml:space="preserve"> (2019) argued that digital media can transform schools into learner-centered spaces. </w:t>
      </w:r>
      <w:proofErr w:type="spellStart"/>
      <w:r w:rsidRPr="00C00D90">
        <w:rPr>
          <w:rFonts w:ascii="Times New Roman" w:eastAsia="新細明體" w:hAnsi="Times New Roman" w:cs="Times New Roman"/>
          <w:kern w:val="0"/>
          <w:szCs w:val="24"/>
        </w:rPr>
        <w:t>Reinders</w:t>
      </w:r>
      <w:proofErr w:type="spellEnd"/>
      <w:r w:rsidRPr="00C00D90">
        <w:rPr>
          <w:rFonts w:ascii="Times New Roman" w:eastAsia="新細明體" w:hAnsi="Times New Roman" w:cs="Times New Roman"/>
          <w:kern w:val="0"/>
          <w:szCs w:val="24"/>
        </w:rPr>
        <w:t xml:space="preserve"> and White (2016) further showed how technology fosters autonomy by extending learning beyond the classroom.</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widowControl/>
        <w:spacing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This special issue explores how technology, particularly DDL, AI, and technology-enhanced assessment, is transforming ESL/EFL pedagogy. We particularly welcome contributions that reflect on multilingual and multicultural learning environments and that explore ways to make technology use more inclusive, effective, and developmentally appropriate. Unlike previous publications that emphasize individual technologies or broad </w:t>
      </w:r>
      <w:proofErr w:type="spellStart"/>
      <w:r w:rsidRPr="00C00D90">
        <w:rPr>
          <w:rFonts w:ascii="Times New Roman" w:eastAsia="新細明體" w:hAnsi="Times New Roman" w:cs="Times New Roman"/>
          <w:kern w:val="0"/>
          <w:szCs w:val="24"/>
        </w:rPr>
        <w:t>EdTech</w:t>
      </w:r>
      <w:proofErr w:type="spellEnd"/>
      <w:r w:rsidRPr="00C00D90">
        <w:rPr>
          <w:rFonts w:ascii="Times New Roman" w:eastAsia="新細明體" w:hAnsi="Times New Roman" w:cs="Times New Roman"/>
          <w:kern w:val="0"/>
          <w:szCs w:val="24"/>
        </w:rPr>
        <w:t xml:space="preserve"> integration, this issue foregrounds the interplay of DDL, AI, and assessment within TESOL contexts.</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widowControl/>
        <w:spacing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This special issue adopts a conceptual framework that positions technology as a mediator between pedagogy and learning outcomes. Approaches such as DDL, AI, and technology-enhanced assessment are not treated as stand-alone tools but as integrated elements of pedagogical practice, shaping task design, scaffolding, and formative </w:t>
      </w:r>
      <w:r w:rsidRPr="00C00D90">
        <w:rPr>
          <w:rFonts w:ascii="Times New Roman" w:eastAsia="新細明體" w:hAnsi="Times New Roman" w:cs="Times New Roman"/>
          <w:kern w:val="0"/>
          <w:szCs w:val="24"/>
        </w:rPr>
        <w:lastRenderedPageBreak/>
        <w:t>feedback that together influence the quality of language learning. In TESOL contexts, these interactions can promote learner autonomy, improve assessment literacy, and lead to measurable learning progress (</w:t>
      </w:r>
      <w:proofErr w:type="spellStart"/>
      <w:r w:rsidRPr="00C00D90">
        <w:rPr>
          <w:rFonts w:ascii="Times New Roman" w:eastAsia="新細明體" w:hAnsi="Times New Roman" w:cs="Times New Roman"/>
          <w:kern w:val="0"/>
          <w:szCs w:val="24"/>
        </w:rPr>
        <w:t>Hampel</w:t>
      </w:r>
      <w:proofErr w:type="spellEnd"/>
      <w:r w:rsidRPr="00C00D90">
        <w:rPr>
          <w:rFonts w:ascii="Times New Roman" w:eastAsia="新細明體" w:hAnsi="Times New Roman" w:cs="Times New Roman"/>
          <w:kern w:val="0"/>
          <w:szCs w:val="24"/>
        </w:rPr>
        <w:t xml:space="preserve"> &amp; Stickler, 2012; </w:t>
      </w:r>
      <w:proofErr w:type="spellStart"/>
      <w:r w:rsidRPr="00C00D90">
        <w:rPr>
          <w:rFonts w:ascii="Times New Roman" w:eastAsia="新細明體" w:hAnsi="Times New Roman" w:cs="Times New Roman"/>
          <w:kern w:val="0"/>
          <w:szCs w:val="24"/>
        </w:rPr>
        <w:t>Warschauer</w:t>
      </w:r>
      <w:proofErr w:type="spellEnd"/>
      <w:r w:rsidRPr="00C00D90">
        <w:rPr>
          <w:rFonts w:ascii="Times New Roman" w:eastAsia="新細明體" w:hAnsi="Times New Roman" w:cs="Times New Roman"/>
          <w:kern w:val="0"/>
          <w:szCs w:val="24"/>
        </w:rPr>
        <w:t>, 2019). This framework establishes a foundational structure for the objectives and potential topics of the issue.</w:t>
      </w:r>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Objectives and Focus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This special issue will:</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explore how DDL can be adapted for ESL and EFL learners in various learning contexts</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examine the use of AI-powered tools such as </w:t>
      </w:r>
      <w:proofErr w:type="spellStart"/>
      <w:r w:rsidRPr="00C00D90">
        <w:rPr>
          <w:rFonts w:ascii="Times New Roman" w:eastAsia="新細明體" w:hAnsi="Times New Roman" w:cs="Times New Roman"/>
          <w:kern w:val="0"/>
          <w:szCs w:val="24"/>
        </w:rPr>
        <w:t>chatbots</w:t>
      </w:r>
      <w:proofErr w:type="spellEnd"/>
      <w:r w:rsidRPr="00C00D90">
        <w:rPr>
          <w:rFonts w:ascii="Times New Roman" w:eastAsia="新細明體" w:hAnsi="Times New Roman" w:cs="Times New Roman"/>
          <w:kern w:val="0"/>
          <w:szCs w:val="24"/>
        </w:rPr>
        <w:t>, adaptive apps, and intelligent feedback systems with a focus on their pedagogical purposes, e.g., formative feedback, scaffolding, and feedback literacy</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highlight how smart technologies support classroom interaction and real-time assessment</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document digital literacy strategies for ESL and EFL instruction at different levels</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examine how different TESOL contexts, including multicultural and multilingual environments, affect the implementation of digital tools in TESOL pedagogy</w:t>
      </w:r>
    </w:p>
    <w:p w:rsidR="00C00D90" w:rsidRPr="00C00D90" w:rsidRDefault="00C00D90" w:rsidP="006910B5">
      <w:pPr>
        <w:widowControl/>
        <w:numPr>
          <w:ilvl w:val="0"/>
          <w:numId w:val="2"/>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bridge classroom practice with practitioner-informed, research-based insights</w:t>
      </w:r>
    </w:p>
    <w:p w:rsidR="00C00D90" w:rsidRPr="00C00D90" w:rsidRDefault="00C00D90" w:rsidP="006910B5">
      <w:pPr>
        <w:spacing w:line="240" w:lineRule="exact"/>
        <w:rPr>
          <w:rFonts w:ascii="Times New Roman" w:hAnsi="Times New Roman" w:cs="Times New Roman"/>
          <w:b/>
        </w:rPr>
      </w:pPr>
      <w:bookmarkStart w:id="0" w:name="_GoBack"/>
      <w:bookmarkEnd w:id="0"/>
      <w:r w:rsidRPr="00C00D90">
        <w:rPr>
          <w:rFonts w:ascii="Times New Roman" w:hAnsi="Times New Roman" w:cs="Times New Roman"/>
          <w:b/>
        </w:rPr>
        <w:t>Potential Topics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We invite submissions on topics such as:</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learner-friendly DDL and corpus-based tasks for ESL/EFL contexts</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formative feedback generated by AI to enhance feedback literacy and writing accuracy</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gamified learning platforms and their classroom integration</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classroom-based research using technology support in ESL/EFL instruction</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adaptive feedback and personalized learning technologies for assessment</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integrating technology for inclusive practices in multilingual/multicultural TESOL contexts</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challenges in implementing digital tools in different regions</w:t>
      </w:r>
    </w:p>
    <w:p w:rsidR="00C00D90" w:rsidRPr="00C00D90" w:rsidRDefault="00C00D90" w:rsidP="006910B5">
      <w:pPr>
        <w:widowControl/>
        <w:numPr>
          <w:ilvl w:val="0"/>
          <w:numId w:val="3"/>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professional development for TESOL educators in digital pedagogy</w:t>
      </w: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Target Audience</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This special issue is intended for TESOL researchers, ESL and EFL educators, teacher trainers, curriculum designers, and educational technology developers interested in enhancing language learning through innovative tools and practices.</w:t>
      </w: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Expected Contributions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Submissions may include the following categories:</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Research Articles (Empirical Research, Collaborative Practitioner Researcher Articles)</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Research Syntheses (Meta-analyses, Systematic Reviews, Scoping Reviews)</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Teacher Researcher Briefs (Classroom-based research and action research)</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Global Perspectives on Local Issues (Contextualized TESOL challenges)</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Teacher Expert Dialogues (Interviews)</w:t>
      </w:r>
    </w:p>
    <w:p w:rsidR="00C00D90" w:rsidRPr="00C00D90" w:rsidRDefault="00C00D90" w:rsidP="006910B5">
      <w:pPr>
        <w:widowControl/>
        <w:numPr>
          <w:ilvl w:val="0"/>
          <w:numId w:val="4"/>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Voices from the Classroom (Reflective narratives)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lastRenderedPageBreak/>
        <w:t xml:space="preserve">Please check the journal website for submission types and guidelines: </w:t>
      </w:r>
      <w:hyperlink r:id="rId8" w:tgtFrame="_new" w:history="1">
        <w:r w:rsidRPr="00C00D90">
          <w:rPr>
            <w:rFonts w:ascii="Times New Roman" w:eastAsia="新細明體" w:hAnsi="Times New Roman" w:cs="Times New Roman"/>
            <w:color w:val="0000FF"/>
            <w:kern w:val="0"/>
            <w:szCs w:val="24"/>
            <w:u w:val="single"/>
          </w:rPr>
          <w:t>TESOL Communications – Call for Paper</w:t>
        </w:r>
        <w:r w:rsidRPr="00C00D90">
          <w:rPr>
            <w:rFonts w:ascii="Times New Roman" w:eastAsia="新細明體" w:hAnsi="Times New Roman" w:cs="Times New Roman"/>
            <w:color w:val="0000FF"/>
            <w:kern w:val="0"/>
            <w:szCs w:val="24"/>
            <w:u w:val="single"/>
          </w:rPr>
          <w:t>s</w:t>
        </w:r>
      </w:hyperlink>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Timeline</w:t>
      </w:r>
    </w:p>
    <w:p w:rsidR="00C00D90" w:rsidRPr="00C00D90" w:rsidRDefault="00C00D90" w:rsidP="006910B5">
      <w:pPr>
        <w:widowControl/>
        <w:numPr>
          <w:ilvl w:val="0"/>
          <w:numId w:val="5"/>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Call for Papers Released:</w:t>
      </w:r>
      <w:r w:rsidRPr="00C00D90">
        <w:rPr>
          <w:rFonts w:ascii="Times New Roman" w:eastAsia="新細明體" w:hAnsi="Times New Roman" w:cs="Times New Roman"/>
          <w:kern w:val="0"/>
          <w:szCs w:val="24"/>
        </w:rPr>
        <w:t xml:space="preserve"> September 1, 2025</w:t>
      </w:r>
    </w:p>
    <w:p w:rsidR="00C00D90" w:rsidRPr="00C00D90" w:rsidRDefault="00C00D90" w:rsidP="006910B5">
      <w:pPr>
        <w:widowControl/>
        <w:numPr>
          <w:ilvl w:val="0"/>
          <w:numId w:val="5"/>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Full Manuscript Submission Deadline:</w:t>
      </w:r>
      <w:r w:rsidRPr="00C00D90">
        <w:rPr>
          <w:rFonts w:ascii="Times New Roman" w:eastAsia="新細明體" w:hAnsi="Times New Roman" w:cs="Times New Roman"/>
          <w:kern w:val="0"/>
          <w:szCs w:val="24"/>
        </w:rPr>
        <w:t xml:space="preserve"> January 31, 2026</w:t>
      </w:r>
    </w:p>
    <w:p w:rsidR="00C00D90" w:rsidRPr="00C00D90" w:rsidRDefault="00C00D90" w:rsidP="006910B5">
      <w:pPr>
        <w:widowControl/>
        <w:numPr>
          <w:ilvl w:val="0"/>
          <w:numId w:val="5"/>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Revised Manuscript Deadline:</w:t>
      </w:r>
      <w:r w:rsidRPr="00C00D90">
        <w:rPr>
          <w:rFonts w:ascii="Times New Roman" w:eastAsia="新細明體" w:hAnsi="Times New Roman" w:cs="Times New Roman"/>
          <w:kern w:val="0"/>
          <w:szCs w:val="24"/>
        </w:rPr>
        <w:t xml:space="preserve"> April 30, 2026</w:t>
      </w:r>
    </w:p>
    <w:p w:rsidR="00C00D90" w:rsidRPr="00C00D90" w:rsidRDefault="00C00D90" w:rsidP="006910B5">
      <w:pPr>
        <w:widowControl/>
        <w:numPr>
          <w:ilvl w:val="0"/>
          <w:numId w:val="5"/>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Final Decision Notification:</w:t>
      </w:r>
      <w:r w:rsidRPr="00C00D90">
        <w:rPr>
          <w:rFonts w:ascii="Times New Roman" w:eastAsia="新細明體" w:hAnsi="Times New Roman" w:cs="Times New Roman"/>
          <w:kern w:val="0"/>
          <w:szCs w:val="24"/>
        </w:rPr>
        <w:t xml:space="preserve"> May 31, 2026</w:t>
      </w:r>
    </w:p>
    <w:p w:rsidR="00C00D90" w:rsidRPr="00C00D90" w:rsidRDefault="00C00D90" w:rsidP="006910B5">
      <w:pPr>
        <w:widowControl/>
        <w:numPr>
          <w:ilvl w:val="0"/>
          <w:numId w:val="5"/>
        </w:numPr>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Publication Date:</w:t>
      </w:r>
      <w:r w:rsidRPr="00C00D90">
        <w:rPr>
          <w:rFonts w:ascii="Times New Roman" w:eastAsia="新細明體" w:hAnsi="Times New Roman" w:cs="Times New Roman"/>
          <w:kern w:val="0"/>
          <w:szCs w:val="24"/>
        </w:rPr>
        <w:t xml:space="preserve"> July 2026</w:t>
      </w:r>
    </w:p>
    <w:p w:rsidR="00C00D90" w:rsidRPr="00C00D90" w:rsidRDefault="00C00D90" w:rsidP="006910B5">
      <w:pPr>
        <w:spacing w:line="240" w:lineRule="exact"/>
        <w:rPr>
          <w:rFonts w:ascii="Times New Roman" w:hAnsi="Times New Roman" w:cs="Times New Roman"/>
          <w:b/>
        </w:rPr>
      </w:pPr>
      <w:r w:rsidRPr="00C00D90">
        <w:rPr>
          <w:rFonts w:ascii="Times New Roman" w:hAnsi="Times New Roman" w:cs="Times New Roman"/>
          <w:b/>
        </w:rPr>
        <w:t>Proposal Submission</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Manuscripts should follow the submission guidelines on the </w:t>
      </w:r>
      <w:r w:rsidRPr="00C00D90">
        <w:rPr>
          <w:rFonts w:ascii="Times New Roman" w:eastAsia="新細明體" w:hAnsi="Times New Roman" w:cs="Times New Roman"/>
          <w:i/>
          <w:iCs/>
          <w:kern w:val="0"/>
          <w:szCs w:val="24"/>
        </w:rPr>
        <w:t>TESOL Communications</w:t>
      </w:r>
      <w:r w:rsidRPr="00C00D90">
        <w:rPr>
          <w:rFonts w:ascii="Times New Roman" w:eastAsia="新細明體" w:hAnsi="Times New Roman" w:cs="Times New Roman"/>
          <w:kern w:val="0"/>
          <w:szCs w:val="24"/>
        </w:rPr>
        <w:t xml:space="preserve"> website: </w:t>
      </w:r>
      <w:hyperlink r:id="rId9" w:tgtFrame="_new" w:history="1">
        <w:r w:rsidRPr="00C00D90">
          <w:rPr>
            <w:rFonts w:ascii="Times New Roman" w:eastAsia="新細明體" w:hAnsi="Times New Roman" w:cs="Times New Roman"/>
            <w:color w:val="0000FF"/>
            <w:kern w:val="0"/>
            <w:szCs w:val="24"/>
            <w:u w:val="single"/>
          </w:rPr>
          <w:t>https://www.tesolcommunications.com</w:t>
        </w:r>
      </w:hyperlink>
      <w:r w:rsidRPr="00C00D90">
        <w:rPr>
          <w:rFonts w:ascii="Times New Roman" w:eastAsia="新細明體" w:hAnsi="Times New Roman" w:cs="Times New Roman"/>
          <w:kern w:val="0"/>
          <w:szCs w:val="24"/>
        </w:rPr>
        <w:t>.</w:t>
      </w:r>
      <w:r w:rsidRPr="00C00D90">
        <w:rPr>
          <w:rFonts w:ascii="Times New Roman" w:eastAsia="新細明體" w:hAnsi="Times New Roman" w:cs="Times New Roman"/>
          <w:kern w:val="0"/>
          <w:szCs w:val="24"/>
        </w:rPr>
        <w:br/>
        <w:t xml:space="preserve">Please indicate in your cover letter that your submission is intended for the Special Issue on </w:t>
      </w:r>
      <w:r w:rsidRPr="00C00D90">
        <w:rPr>
          <w:rFonts w:ascii="Times New Roman" w:eastAsia="新細明體" w:hAnsi="Times New Roman" w:cs="Times New Roman"/>
          <w:b/>
          <w:bCs/>
          <w:kern w:val="0"/>
          <w:szCs w:val="24"/>
        </w:rPr>
        <w:t>Technology Enhanced TESOL for ESL/EFL Learners</w:t>
      </w:r>
      <w:r w:rsidRPr="00C00D90">
        <w:rPr>
          <w:rFonts w:ascii="Times New Roman" w:eastAsia="新細明體" w:hAnsi="Times New Roman" w:cs="Times New Roman"/>
          <w:kern w:val="0"/>
          <w:szCs w:val="24"/>
        </w:rPr>
        <w:t>.</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For questions related to the special issue, please contact:</w:t>
      </w:r>
      <w:r w:rsidRPr="00C00D90">
        <w:rPr>
          <w:rFonts w:ascii="Times New Roman" w:eastAsia="新細明體" w:hAnsi="Times New Roman" w:cs="Times New Roman"/>
          <w:kern w:val="0"/>
          <w:szCs w:val="24"/>
        </w:rPr>
        <w:br/>
      </w:r>
      <w:proofErr w:type="spellStart"/>
      <w:r w:rsidRPr="00C00D90">
        <w:rPr>
          <w:rFonts w:ascii="Times New Roman" w:eastAsia="新細明體" w:hAnsi="Times New Roman" w:cs="Times New Roman"/>
          <w:kern w:val="0"/>
          <w:szCs w:val="24"/>
        </w:rPr>
        <w:t>Siaw</w:t>
      </w:r>
      <w:proofErr w:type="spellEnd"/>
      <w:r w:rsidRPr="00C00D90">
        <w:rPr>
          <w:rFonts w:ascii="Times New Roman" w:eastAsia="新細明體" w:hAnsi="Times New Roman" w:cs="Times New Roman"/>
          <w:kern w:val="0"/>
          <w:szCs w:val="24"/>
        </w:rPr>
        <w:t xml:space="preserve">-Fong Chung – </w:t>
      </w:r>
      <w:hyperlink r:id="rId10" w:history="1">
        <w:r w:rsidRPr="00C00D90">
          <w:rPr>
            <w:rStyle w:val="a3"/>
            <w:rFonts w:ascii="Times New Roman" w:eastAsia="新細明體" w:hAnsi="Times New Roman" w:cs="Times New Roman"/>
            <w:kern w:val="0"/>
            <w:szCs w:val="24"/>
          </w:rPr>
          <w:t>sfchung@nccu.edu.tw</w:t>
        </w:r>
      </w:hyperlink>
    </w:p>
    <w:p w:rsidR="00C00D90" w:rsidRPr="00C00D90" w:rsidRDefault="00C00D90" w:rsidP="006910B5">
      <w:pPr>
        <w:widowControl/>
        <w:spacing w:line="240" w:lineRule="exact"/>
        <w:jc w:val="both"/>
        <w:rPr>
          <w:rFonts w:ascii="Times New Roman" w:eastAsia="新細明體" w:hAnsi="Times New Roman" w:cs="Times New Roman"/>
          <w:kern w:val="0"/>
          <w:szCs w:val="24"/>
        </w:rPr>
      </w:pPr>
    </w:p>
    <w:p w:rsidR="006910B5" w:rsidRDefault="00C00D90" w:rsidP="006910B5">
      <w:pPr>
        <w:spacing w:line="240" w:lineRule="exact"/>
        <w:rPr>
          <w:rFonts w:ascii="Times New Roman" w:hAnsi="Times New Roman" w:cs="Times New Roman"/>
          <w:b/>
        </w:rPr>
      </w:pPr>
      <w:r w:rsidRPr="00C00D90">
        <w:rPr>
          <w:rFonts w:ascii="Times New Roman" w:hAnsi="Times New Roman" w:cs="Times New Roman"/>
          <w:b/>
        </w:rPr>
        <w:t>References</w:t>
      </w:r>
    </w:p>
    <w:p w:rsidR="006910B5" w:rsidRDefault="00C00D90" w:rsidP="006910B5">
      <w:pPr>
        <w:spacing w:line="240" w:lineRule="exact"/>
        <w:ind w:left="708" w:hangingChars="295" w:hanging="708"/>
        <w:jc w:val="both"/>
        <w:rPr>
          <w:rFonts w:ascii="Times New Roman" w:hAnsi="Times New Roman" w:cs="Times New Roman"/>
          <w:b/>
        </w:rPr>
      </w:pPr>
      <w:proofErr w:type="spellStart"/>
      <w:r w:rsidRPr="00C00D90">
        <w:rPr>
          <w:rFonts w:ascii="Times New Roman" w:eastAsia="新細明體" w:hAnsi="Times New Roman" w:cs="Times New Roman"/>
          <w:kern w:val="0"/>
          <w:szCs w:val="24"/>
        </w:rPr>
        <w:t>Berendt</w:t>
      </w:r>
      <w:proofErr w:type="spellEnd"/>
      <w:r w:rsidRPr="00C00D90">
        <w:rPr>
          <w:rFonts w:ascii="Times New Roman" w:eastAsia="新細明體" w:hAnsi="Times New Roman" w:cs="Times New Roman"/>
          <w:kern w:val="0"/>
          <w:szCs w:val="24"/>
        </w:rPr>
        <w:t xml:space="preserve">, B., Littlejohn, A., &amp; Blakemore, M. (2020). AI in education: Learner choice and fundamental rights. </w:t>
      </w:r>
      <w:r w:rsidRPr="00C00D90">
        <w:rPr>
          <w:rFonts w:ascii="Times New Roman" w:eastAsia="新細明體" w:hAnsi="Times New Roman" w:cs="Times New Roman"/>
          <w:i/>
          <w:iCs/>
          <w:kern w:val="0"/>
          <w:szCs w:val="24"/>
        </w:rPr>
        <w:t>Learning, Media and Technology, 45</w:t>
      </w:r>
      <w:r w:rsidRPr="00C00D90">
        <w:rPr>
          <w:rFonts w:ascii="Times New Roman" w:eastAsia="新細明體" w:hAnsi="Times New Roman" w:cs="Times New Roman"/>
          <w:kern w:val="0"/>
          <w:szCs w:val="24"/>
        </w:rPr>
        <w:t xml:space="preserve">(3), 312–324. </w:t>
      </w:r>
      <w:hyperlink r:id="rId11" w:tgtFrame="_new" w:history="1">
        <w:r w:rsidRPr="00C00D90">
          <w:rPr>
            <w:rFonts w:ascii="Times New Roman" w:eastAsia="新細明體" w:hAnsi="Times New Roman" w:cs="Times New Roman"/>
            <w:color w:val="0000FF"/>
            <w:kern w:val="0"/>
            <w:szCs w:val="24"/>
            <w:u w:val="single"/>
          </w:rPr>
          <w:t>https://doi.org/10.1080/17439884.2020.1786399</w:t>
        </w:r>
      </w:hyperlink>
    </w:p>
    <w:p w:rsidR="006910B5" w:rsidRDefault="00C00D90" w:rsidP="006910B5">
      <w:pPr>
        <w:spacing w:line="240" w:lineRule="exact"/>
        <w:ind w:left="708" w:hangingChars="295" w:hanging="708"/>
        <w:jc w:val="both"/>
        <w:rPr>
          <w:rFonts w:ascii="Times New Roman" w:eastAsia="新細明體" w:hAnsi="Times New Roman" w:cs="Times New Roman"/>
          <w:kern w:val="0"/>
          <w:szCs w:val="24"/>
        </w:rPr>
      </w:pPr>
      <w:proofErr w:type="spellStart"/>
      <w:r w:rsidRPr="00C00D90">
        <w:rPr>
          <w:rFonts w:ascii="Times New Roman" w:eastAsia="新細明體" w:hAnsi="Times New Roman" w:cs="Times New Roman"/>
          <w:kern w:val="0"/>
          <w:szCs w:val="24"/>
        </w:rPr>
        <w:t>Boulton</w:t>
      </w:r>
      <w:proofErr w:type="spellEnd"/>
      <w:r w:rsidRPr="00C00D90">
        <w:rPr>
          <w:rFonts w:ascii="Times New Roman" w:eastAsia="新細明體" w:hAnsi="Times New Roman" w:cs="Times New Roman"/>
          <w:kern w:val="0"/>
          <w:szCs w:val="24"/>
        </w:rPr>
        <w:t xml:space="preserve">, A., &amp; Cobb, T. (2017). Corpus use in language learning: A meta-analysis. </w:t>
      </w:r>
      <w:r w:rsidRPr="00C00D90">
        <w:rPr>
          <w:rFonts w:ascii="Times New Roman" w:eastAsia="新細明體" w:hAnsi="Times New Roman" w:cs="Times New Roman"/>
          <w:i/>
          <w:iCs/>
          <w:kern w:val="0"/>
          <w:szCs w:val="24"/>
        </w:rPr>
        <w:t>Language Learning, 67</w:t>
      </w:r>
      <w:r w:rsidRPr="00C00D90">
        <w:rPr>
          <w:rFonts w:ascii="Times New Roman" w:eastAsia="新細明體" w:hAnsi="Times New Roman" w:cs="Times New Roman"/>
          <w:kern w:val="0"/>
          <w:szCs w:val="24"/>
        </w:rPr>
        <w:t xml:space="preserve">(2), 348–393. </w:t>
      </w:r>
      <w:hyperlink r:id="rId12" w:tgtFrame="_new" w:history="1">
        <w:r w:rsidRPr="00C00D90">
          <w:rPr>
            <w:rFonts w:ascii="Times New Roman" w:eastAsia="新細明體" w:hAnsi="Times New Roman" w:cs="Times New Roman"/>
            <w:color w:val="0000FF"/>
            <w:kern w:val="0"/>
            <w:szCs w:val="24"/>
            <w:u w:val="single"/>
          </w:rPr>
          <w:t>https://doi.org/10.1111/lang.12224</w:t>
        </w:r>
      </w:hyperlink>
      <w:r w:rsidRPr="00C00D90">
        <w:rPr>
          <w:rFonts w:ascii="Times New Roman" w:eastAsia="新細明體" w:hAnsi="Times New Roman" w:cs="Times New Roman"/>
          <w:kern w:val="0"/>
          <w:szCs w:val="24"/>
        </w:rPr>
        <w:br/>
        <w:t xml:space="preserve">Godwin-Jones, R. (2021). Evolving technologies for language learning. </w:t>
      </w:r>
      <w:r w:rsidRPr="00C00D90">
        <w:rPr>
          <w:rFonts w:ascii="Times New Roman" w:eastAsia="新細明體" w:hAnsi="Times New Roman" w:cs="Times New Roman"/>
          <w:i/>
          <w:iCs/>
          <w:kern w:val="0"/>
          <w:szCs w:val="24"/>
        </w:rPr>
        <w:t>Language Learning &amp; Technology, 25</w:t>
      </w:r>
      <w:r w:rsidRPr="00C00D90">
        <w:rPr>
          <w:rFonts w:ascii="Times New Roman" w:eastAsia="新細明體" w:hAnsi="Times New Roman" w:cs="Times New Roman"/>
          <w:kern w:val="0"/>
          <w:szCs w:val="24"/>
        </w:rPr>
        <w:t xml:space="preserve">(3), 6–26. </w:t>
      </w:r>
      <w:hyperlink r:id="rId13" w:tgtFrame="_new" w:history="1">
        <w:r w:rsidRPr="00C00D90">
          <w:rPr>
            <w:rFonts w:ascii="Times New Roman" w:eastAsia="新細明體" w:hAnsi="Times New Roman" w:cs="Times New Roman"/>
            <w:color w:val="0000FF"/>
            <w:kern w:val="0"/>
            <w:szCs w:val="24"/>
            <w:u w:val="single"/>
          </w:rPr>
          <w:t>http://hdl.handle.net/10125/73443</w:t>
        </w:r>
      </w:hyperlink>
    </w:p>
    <w:p w:rsidR="006910B5" w:rsidRDefault="00C00D90" w:rsidP="006910B5">
      <w:pPr>
        <w:spacing w:line="240" w:lineRule="exact"/>
        <w:ind w:left="708" w:hangingChars="295" w:hanging="708"/>
        <w:jc w:val="both"/>
        <w:rPr>
          <w:rFonts w:ascii="Times New Roman" w:eastAsia="新細明體" w:hAnsi="Times New Roman" w:cs="Times New Roman"/>
          <w:kern w:val="0"/>
          <w:szCs w:val="24"/>
        </w:rPr>
      </w:pPr>
      <w:proofErr w:type="spellStart"/>
      <w:r w:rsidRPr="00C00D90">
        <w:rPr>
          <w:rFonts w:ascii="Times New Roman" w:eastAsia="新細明體" w:hAnsi="Times New Roman" w:cs="Times New Roman"/>
          <w:kern w:val="0"/>
          <w:szCs w:val="24"/>
        </w:rPr>
        <w:t>Hampel</w:t>
      </w:r>
      <w:proofErr w:type="spellEnd"/>
      <w:r w:rsidRPr="00C00D90">
        <w:rPr>
          <w:rFonts w:ascii="Times New Roman" w:eastAsia="新細明體" w:hAnsi="Times New Roman" w:cs="Times New Roman"/>
          <w:kern w:val="0"/>
          <w:szCs w:val="24"/>
        </w:rPr>
        <w:t xml:space="preserve">, R., &amp; Stickler, U. (2012). The use of videoconferencing to support multimodal interaction in an online language classroom. </w:t>
      </w:r>
      <w:proofErr w:type="spellStart"/>
      <w:r w:rsidRPr="00C00D90">
        <w:rPr>
          <w:rFonts w:ascii="Times New Roman" w:eastAsia="新細明體" w:hAnsi="Times New Roman" w:cs="Times New Roman"/>
          <w:i/>
          <w:iCs/>
          <w:kern w:val="0"/>
          <w:szCs w:val="24"/>
        </w:rPr>
        <w:t>ReCALL</w:t>
      </w:r>
      <w:proofErr w:type="spellEnd"/>
      <w:r w:rsidRPr="00C00D90">
        <w:rPr>
          <w:rFonts w:ascii="Times New Roman" w:eastAsia="新細明體" w:hAnsi="Times New Roman" w:cs="Times New Roman"/>
          <w:i/>
          <w:iCs/>
          <w:kern w:val="0"/>
          <w:szCs w:val="24"/>
        </w:rPr>
        <w:t>, 24</w:t>
      </w:r>
      <w:r w:rsidRPr="00C00D90">
        <w:rPr>
          <w:rFonts w:ascii="Times New Roman" w:eastAsia="新細明體" w:hAnsi="Times New Roman" w:cs="Times New Roman"/>
          <w:kern w:val="0"/>
          <w:szCs w:val="24"/>
        </w:rPr>
        <w:t xml:space="preserve">(2), 116–137. </w:t>
      </w:r>
      <w:hyperlink r:id="rId14" w:tgtFrame="_new" w:history="1">
        <w:r w:rsidRPr="00C00D90">
          <w:rPr>
            <w:rFonts w:ascii="Times New Roman" w:eastAsia="新細明體" w:hAnsi="Times New Roman" w:cs="Times New Roman"/>
            <w:color w:val="0000FF"/>
            <w:kern w:val="0"/>
            <w:szCs w:val="24"/>
            <w:u w:val="single"/>
          </w:rPr>
          <w:t>https://doi.org/10.1017/S095834401200002X</w:t>
        </w:r>
      </w:hyperlink>
    </w:p>
    <w:p w:rsidR="006910B5" w:rsidRDefault="00C00D90" w:rsidP="006910B5">
      <w:pPr>
        <w:spacing w:line="240" w:lineRule="exact"/>
        <w:ind w:left="708" w:hangingChars="295" w:hanging="708"/>
        <w:jc w:val="both"/>
        <w:rPr>
          <w:rFonts w:ascii="Times New Roman" w:eastAsia="新細明體" w:hAnsi="Times New Roman" w:cs="Times New Roman"/>
          <w:kern w:val="0"/>
          <w:szCs w:val="24"/>
        </w:rPr>
      </w:pPr>
      <w:r w:rsidRPr="00C00D90">
        <w:rPr>
          <w:rFonts w:ascii="Times New Roman" w:eastAsia="新細明體" w:hAnsi="Times New Roman" w:cs="Times New Roman"/>
          <w:kern w:val="0"/>
          <w:szCs w:val="24"/>
        </w:rPr>
        <w:t xml:space="preserve">Johns, T. (1991). Should you be persuaded: Two examples of data-driven learning. In T. Johns &amp; P. King (Eds.), </w:t>
      </w:r>
      <w:r w:rsidRPr="00C00D90">
        <w:rPr>
          <w:rFonts w:ascii="Times New Roman" w:eastAsia="新細明體" w:hAnsi="Times New Roman" w:cs="Times New Roman"/>
          <w:i/>
          <w:iCs/>
          <w:kern w:val="0"/>
          <w:szCs w:val="24"/>
        </w:rPr>
        <w:t xml:space="preserve">Classroom </w:t>
      </w:r>
      <w:proofErr w:type="spellStart"/>
      <w:r w:rsidRPr="00C00D90">
        <w:rPr>
          <w:rFonts w:ascii="Times New Roman" w:eastAsia="新細明體" w:hAnsi="Times New Roman" w:cs="Times New Roman"/>
          <w:i/>
          <w:iCs/>
          <w:kern w:val="0"/>
          <w:szCs w:val="24"/>
        </w:rPr>
        <w:t>concordancing</w:t>
      </w:r>
      <w:proofErr w:type="spellEnd"/>
      <w:r w:rsidRPr="00C00D90">
        <w:rPr>
          <w:rFonts w:ascii="Times New Roman" w:eastAsia="新細明體" w:hAnsi="Times New Roman" w:cs="Times New Roman"/>
          <w:kern w:val="0"/>
          <w:szCs w:val="24"/>
        </w:rPr>
        <w:t xml:space="preserve"> (pp. 1</w:t>
      </w:r>
      <w:r w:rsidR="006910B5">
        <w:rPr>
          <w:rFonts w:ascii="Times New Roman" w:eastAsia="新細明體" w:hAnsi="Times New Roman" w:cs="Times New Roman"/>
          <w:kern w:val="0"/>
          <w:szCs w:val="24"/>
        </w:rPr>
        <w:t>–16). University of Birmingham.</w:t>
      </w:r>
    </w:p>
    <w:p w:rsidR="006910B5" w:rsidRDefault="00C00D90" w:rsidP="006910B5">
      <w:pPr>
        <w:spacing w:line="240" w:lineRule="exact"/>
        <w:ind w:left="708" w:hangingChars="295" w:hanging="708"/>
        <w:jc w:val="both"/>
        <w:rPr>
          <w:rFonts w:ascii="Times New Roman" w:eastAsia="新細明體" w:hAnsi="Times New Roman" w:cs="Times New Roman"/>
          <w:kern w:val="0"/>
          <w:szCs w:val="24"/>
        </w:rPr>
      </w:pPr>
      <w:proofErr w:type="spellStart"/>
      <w:r w:rsidRPr="00C00D90">
        <w:rPr>
          <w:rFonts w:ascii="Times New Roman" w:eastAsia="新細明體" w:hAnsi="Times New Roman" w:cs="Times New Roman"/>
          <w:kern w:val="0"/>
          <w:szCs w:val="24"/>
        </w:rPr>
        <w:t>Reinders</w:t>
      </w:r>
      <w:proofErr w:type="spellEnd"/>
      <w:r w:rsidRPr="00C00D90">
        <w:rPr>
          <w:rFonts w:ascii="Times New Roman" w:eastAsia="新細明體" w:hAnsi="Times New Roman" w:cs="Times New Roman"/>
          <w:kern w:val="0"/>
          <w:szCs w:val="24"/>
        </w:rPr>
        <w:t xml:space="preserve">, H., &amp; White, C. (2016). 20 years of autonomy and technology: How far have we come and where to next? </w:t>
      </w:r>
      <w:r w:rsidRPr="00C00D90">
        <w:rPr>
          <w:rFonts w:ascii="Times New Roman" w:eastAsia="新細明體" w:hAnsi="Times New Roman" w:cs="Times New Roman"/>
          <w:i/>
          <w:iCs/>
          <w:kern w:val="0"/>
          <w:szCs w:val="24"/>
        </w:rPr>
        <w:t>Language Learning &amp; Technology, 20</w:t>
      </w:r>
      <w:r w:rsidRPr="00C00D90">
        <w:rPr>
          <w:rFonts w:ascii="Times New Roman" w:eastAsia="新細明體" w:hAnsi="Times New Roman" w:cs="Times New Roman"/>
          <w:kern w:val="0"/>
          <w:szCs w:val="24"/>
        </w:rPr>
        <w:t xml:space="preserve">(2), 143–154. </w:t>
      </w:r>
      <w:hyperlink r:id="rId15" w:tgtFrame="_new" w:history="1">
        <w:r w:rsidRPr="00C00D90">
          <w:rPr>
            <w:rFonts w:ascii="Times New Roman" w:eastAsia="新細明體" w:hAnsi="Times New Roman" w:cs="Times New Roman"/>
            <w:color w:val="0000FF"/>
            <w:kern w:val="0"/>
            <w:szCs w:val="24"/>
            <w:u w:val="single"/>
          </w:rPr>
          <w:t>http://llt.msu.edu/issues/june2016/reinderswhite.pdf</w:t>
        </w:r>
      </w:hyperlink>
      <w:r w:rsidRPr="00C00D90">
        <w:rPr>
          <w:rFonts w:ascii="Times New Roman" w:eastAsia="新細明體" w:hAnsi="Times New Roman" w:cs="Times New Roman"/>
          <w:kern w:val="0"/>
          <w:szCs w:val="24"/>
        </w:rPr>
        <w:br/>
      </w:r>
      <w:proofErr w:type="spellStart"/>
      <w:r w:rsidRPr="00C00D90">
        <w:rPr>
          <w:rFonts w:ascii="Times New Roman" w:eastAsia="新細明體" w:hAnsi="Times New Roman" w:cs="Times New Roman"/>
          <w:kern w:val="0"/>
          <w:szCs w:val="24"/>
        </w:rPr>
        <w:t>Warschauer</w:t>
      </w:r>
      <w:proofErr w:type="spellEnd"/>
      <w:r w:rsidRPr="00C00D90">
        <w:rPr>
          <w:rFonts w:ascii="Times New Roman" w:eastAsia="新細明體" w:hAnsi="Times New Roman" w:cs="Times New Roman"/>
          <w:kern w:val="0"/>
          <w:szCs w:val="24"/>
        </w:rPr>
        <w:t xml:space="preserve">, M. (2019). </w:t>
      </w:r>
      <w:r w:rsidRPr="00C00D90">
        <w:rPr>
          <w:rFonts w:ascii="Times New Roman" w:eastAsia="新細明體" w:hAnsi="Times New Roman" w:cs="Times New Roman"/>
          <w:i/>
          <w:iCs/>
          <w:kern w:val="0"/>
          <w:szCs w:val="24"/>
        </w:rPr>
        <w:t>Learning in the cloud: How (and why) to transform schools with digital media</w:t>
      </w:r>
      <w:r w:rsidR="006910B5">
        <w:rPr>
          <w:rFonts w:ascii="Times New Roman" w:eastAsia="新細明體" w:hAnsi="Times New Roman" w:cs="Times New Roman"/>
          <w:kern w:val="0"/>
          <w:szCs w:val="24"/>
        </w:rPr>
        <w:t>. Teachers College Press.</w:t>
      </w:r>
    </w:p>
    <w:p w:rsidR="00C00D90" w:rsidRPr="00C00D90" w:rsidRDefault="00C00D90" w:rsidP="006910B5">
      <w:pPr>
        <w:spacing w:line="240" w:lineRule="exact"/>
        <w:ind w:left="708" w:hangingChars="295" w:hanging="708"/>
        <w:jc w:val="both"/>
        <w:rPr>
          <w:rFonts w:ascii="Times New Roman" w:hAnsi="Times New Roman" w:cs="Times New Roman"/>
          <w:b/>
        </w:rPr>
      </w:pPr>
      <w:proofErr w:type="spellStart"/>
      <w:r w:rsidRPr="00C00D90">
        <w:rPr>
          <w:rFonts w:ascii="Times New Roman" w:eastAsia="新細明體" w:hAnsi="Times New Roman" w:cs="Times New Roman"/>
          <w:kern w:val="0"/>
          <w:szCs w:val="24"/>
        </w:rPr>
        <w:t>Zhai</w:t>
      </w:r>
      <w:proofErr w:type="spellEnd"/>
      <w:r w:rsidRPr="00C00D90">
        <w:rPr>
          <w:rFonts w:ascii="Times New Roman" w:eastAsia="新細明體" w:hAnsi="Times New Roman" w:cs="Times New Roman"/>
          <w:kern w:val="0"/>
          <w:szCs w:val="24"/>
        </w:rPr>
        <w:t xml:space="preserve">, X., Chu, X., Chai, C. S., Jong, M. S. Y., </w:t>
      </w:r>
      <w:proofErr w:type="spellStart"/>
      <w:r w:rsidRPr="00C00D90">
        <w:rPr>
          <w:rFonts w:ascii="Times New Roman" w:eastAsia="新細明體" w:hAnsi="Times New Roman" w:cs="Times New Roman"/>
          <w:kern w:val="0"/>
          <w:szCs w:val="24"/>
        </w:rPr>
        <w:t>Istenic</w:t>
      </w:r>
      <w:proofErr w:type="spellEnd"/>
      <w:r w:rsidRPr="00C00D90">
        <w:rPr>
          <w:rFonts w:ascii="Times New Roman" w:eastAsia="新細明體" w:hAnsi="Times New Roman" w:cs="Times New Roman"/>
          <w:kern w:val="0"/>
          <w:szCs w:val="24"/>
        </w:rPr>
        <w:t xml:space="preserve">, A., Spector, M., Liu, J. B., Yuan, J., &amp; Li, Y. (2021). A review of artificial intelligence (AI) in education from 2010 to 2020. </w:t>
      </w:r>
      <w:r w:rsidRPr="00C00D90">
        <w:rPr>
          <w:rFonts w:ascii="Times New Roman" w:eastAsia="新細明體" w:hAnsi="Times New Roman" w:cs="Times New Roman"/>
          <w:i/>
          <w:iCs/>
          <w:kern w:val="0"/>
          <w:szCs w:val="24"/>
        </w:rPr>
        <w:t>Complexity, 2021</w:t>
      </w:r>
      <w:r w:rsidRPr="00C00D90">
        <w:rPr>
          <w:rFonts w:ascii="Times New Roman" w:eastAsia="新細明體" w:hAnsi="Times New Roman" w:cs="Times New Roman"/>
          <w:kern w:val="0"/>
          <w:szCs w:val="24"/>
        </w:rPr>
        <w:t xml:space="preserve">, 1–18. </w:t>
      </w:r>
      <w:hyperlink r:id="rId16" w:tgtFrame="_new" w:history="1">
        <w:r w:rsidRPr="00C00D90">
          <w:rPr>
            <w:rFonts w:ascii="Times New Roman" w:eastAsia="新細明體" w:hAnsi="Times New Roman" w:cs="Times New Roman"/>
            <w:color w:val="0000FF"/>
            <w:kern w:val="0"/>
            <w:szCs w:val="24"/>
            <w:u w:val="single"/>
          </w:rPr>
          <w:t>https://doi.org/10.1155/2021/8812542</w:t>
        </w:r>
      </w:hyperlink>
    </w:p>
    <w:p w:rsidR="00C00D90" w:rsidRPr="00C00D90" w:rsidRDefault="00C00D90" w:rsidP="006910B5">
      <w:pPr>
        <w:spacing w:line="240" w:lineRule="exact"/>
        <w:rPr>
          <w:rFonts w:ascii="Times New Roman" w:hAnsi="Times New Roman" w:cs="Times New Roman"/>
        </w:rPr>
      </w:pPr>
    </w:p>
    <w:p w:rsidR="00C00D90" w:rsidRPr="00C00D90" w:rsidRDefault="00C00D90" w:rsidP="006910B5">
      <w:pPr>
        <w:spacing w:line="240" w:lineRule="exact"/>
        <w:rPr>
          <w:rFonts w:ascii="Times New Roman" w:hAnsi="Times New Roman" w:cs="Times New Roman"/>
          <w:b/>
          <w:szCs w:val="24"/>
        </w:rPr>
      </w:pPr>
      <w:r w:rsidRPr="00C00D90">
        <w:rPr>
          <w:rFonts w:ascii="Times New Roman" w:hAnsi="Times New Roman" w:cs="Times New Roman"/>
          <w:b/>
          <w:szCs w:val="24"/>
        </w:rPr>
        <w:t>Guest Editors’ Biodata</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proofErr w:type="spellStart"/>
      <w:r w:rsidRPr="00C00D90">
        <w:rPr>
          <w:rFonts w:ascii="Times New Roman" w:eastAsia="新細明體" w:hAnsi="Times New Roman" w:cs="Times New Roman"/>
          <w:b/>
          <w:bCs/>
          <w:kern w:val="0"/>
          <w:szCs w:val="24"/>
        </w:rPr>
        <w:t>Siaw</w:t>
      </w:r>
      <w:proofErr w:type="spellEnd"/>
      <w:r w:rsidRPr="00C00D90">
        <w:rPr>
          <w:rFonts w:ascii="Times New Roman" w:eastAsia="新細明體" w:hAnsi="Times New Roman" w:cs="Times New Roman"/>
          <w:b/>
          <w:bCs/>
          <w:kern w:val="0"/>
          <w:szCs w:val="24"/>
        </w:rPr>
        <w:t>-Fong Chung, PhD</w:t>
      </w:r>
      <w:r w:rsidRPr="00C00D90">
        <w:rPr>
          <w:rFonts w:ascii="Times New Roman" w:eastAsia="新細明體" w:hAnsi="Times New Roman" w:cs="Times New Roman"/>
          <w:kern w:val="0"/>
          <w:szCs w:val="24"/>
        </w:rPr>
        <w:br/>
        <w:t xml:space="preserve">Professor, Department of English, National </w:t>
      </w:r>
      <w:proofErr w:type="spellStart"/>
      <w:r w:rsidRPr="00C00D90">
        <w:rPr>
          <w:rFonts w:ascii="Times New Roman" w:eastAsia="新細明體" w:hAnsi="Times New Roman" w:cs="Times New Roman"/>
          <w:kern w:val="0"/>
          <w:szCs w:val="24"/>
        </w:rPr>
        <w:t>Chengchi</w:t>
      </w:r>
      <w:proofErr w:type="spellEnd"/>
      <w:r w:rsidRPr="00C00D90">
        <w:rPr>
          <w:rFonts w:ascii="Times New Roman" w:eastAsia="新細明體" w:hAnsi="Times New Roman" w:cs="Times New Roman"/>
          <w:kern w:val="0"/>
          <w:szCs w:val="24"/>
        </w:rPr>
        <w:t xml:space="preserve"> University (NCCU), Taiwan. She received her PhD in Linguistics from National Taiwan University, after earning a B.Ed. (Hons) in Secondary Education and English Language Teaching from the University of Exeter, England. She is the 13th President of the Linguistic Society of Taiwan and serves as Editor-in-Chief of the </w:t>
      </w:r>
      <w:r w:rsidRPr="00C00D90">
        <w:rPr>
          <w:rFonts w:ascii="Times New Roman" w:eastAsia="新細明體" w:hAnsi="Times New Roman" w:cs="Times New Roman"/>
          <w:i/>
          <w:iCs/>
          <w:kern w:val="0"/>
          <w:szCs w:val="24"/>
        </w:rPr>
        <w:t>Taiwan Journal of TESOL</w:t>
      </w:r>
      <w:r w:rsidRPr="00C00D90">
        <w:rPr>
          <w:rFonts w:ascii="Times New Roman" w:eastAsia="新細明體" w:hAnsi="Times New Roman" w:cs="Times New Roman"/>
          <w:kern w:val="0"/>
          <w:szCs w:val="24"/>
        </w:rPr>
        <w:t xml:space="preserve"> (ESCI; Scopus, 2025–2027). She is also Associate Editor of the </w:t>
      </w:r>
      <w:r w:rsidRPr="00C00D90">
        <w:rPr>
          <w:rFonts w:ascii="Times New Roman" w:eastAsia="新細明體" w:hAnsi="Times New Roman" w:cs="Times New Roman"/>
          <w:i/>
          <w:iCs/>
          <w:kern w:val="0"/>
          <w:szCs w:val="24"/>
        </w:rPr>
        <w:t>International Review of Pragmatics</w:t>
      </w:r>
      <w:r w:rsidRPr="00C00D90">
        <w:rPr>
          <w:rFonts w:ascii="Times New Roman" w:eastAsia="新細明體" w:hAnsi="Times New Roman" w:cs="Times New Roman"/>
          <w:kern w:val="0"/>
          <w:szCs w:val="24"/>
        </w:rPr>
        <w:t xml:space="preserve"> and </w:t>
      </w:r>
      <w:r w:rsidRPr="00C00D90">
        <w:rPr>
          <w:rFonts w:ascii="Times New Roman" w:eastAsia="新細明體" w:hAnsi="Times New Roman" w:cs="Times New Roman"/>
          <w:i/>
          <w:iCs/>
          <w:kern w:val="0"/>
          <w:szCs w:val="24"/>
        </w:rPr>
        <w:t xml:space="preserve">TESOL </w:t>
      </w:r>
      <w:r w:rsidRPr="00C00D90">
        <w:rPr>
          <w:rFonts w:ascii="Times New Roman" w:eastAsia="新細明體" w:hAnsi="Times New Roman" w:cs="Times New Roman"/>
          <w:i/>
          <w:iCs/>
          <w:kern w:val="0"/>
          <w:szCs w:val="24"/>
        </w:rPr>
        <w:lastRenderedPageBreak/>
        <w:t>Communications</w:t>
      </w:r>
      <w:r w:rsidRPr="00C00D90">
        <w:rPr>
          <w:rFonts w:ascii="Times New Roman" w:eastAsia="新細明體" w:hAnsi="Times New Roman" w:cs="Times New Roman"/>
          <w:kern w:val="0"/>
          <w:szCs w:val="24"/>
        </w:rPr>
        <w:t xml:space="preserve">, and a member of the Editorial Board of </w:t>
      </w:r>
      <w:r w:rsidRPr="00C00D90">
        <w:rPr>
          <w:rFonts w:ascii="Times New Roman" w:eastAsia="新細明體" w:hAnsi="Times New Roman" w:cs="Times New Roman"/>
          <w:i/>
          <w:iCs/>
          <w:kern w:val="0"/>
          <w:szCs w:val="24"/>
        </w:rPr>
        <w:t>Applied Corpus Linguistics</w:t>
      </w:r>
      <w:r w:rsidRPr="00C00D90">
        <w:rPr>
          <w:rFonts w:ascii="Times New Roman" w:eastAsia="新細明體" w:hAnsi="Times New Roman" w:cs="Times New Roman"/>
          <w:kern w:val="0"/>
          <w:szCs w:val="24"/>
        </w:rPr>
        <w:t>. Her research interests include corpus linguistics, pragmatics, metaphor studies, and social media discourse.</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 xml:space="preserve">Benjamin Beaumont, </w:t>
      </w:r>
      <w:proofErr w:type="spellStart"/>
      <w:r w:rsidRPr="00C00D90">
        <w:rPr>
          <w:rFonts w:ascii="Times New Roman" w:eastAsia="新細明體" w:hAnsi="Times New Roman" w:cs="Times New Roman"/>
          <w:b/>
          <w:bCs/>
          <w:kern w:val="0"/>
          <w:szCs w:val="24"/>
        </w:rPr>
        <w:t>EdD</w:t>
      </w:r>
      <w:proofErr w:type="spellEnd"/>
      <w:r w:rsidRPr="00C00D90">
        <w:rPr>
          <w:rFonts w:ascii="Times New Roman" w:eastAsia="新細明體" w:hAnsi="Times New Roman" w:cs="Times New Roman"/>
          <w:kern w:val="0"/>
          <w:szCs w:val="24"/>
        </w:rPr>
        <w:br/>
        <w:t>Head of Teacher Education, Trinity College London, United Kingdom. He is the academic and operational lead for a suite of qualifications taken by around 3,000 teachers annually. He has extensive experience across primary, secondary, vocational, and higher education sectors. His research interests focus on the effects of adopting English as a Medium of Instruction (EMI) on lecturers and on identifying institutional support mechanisms to help universities minimize challenges in EMI contexts.</w:t>
      </w:r>
    </w:p>
    <w:p w:rsidR="00C00D90" w:rsidRPr="00C00D90" w:rsidRDefault="00C00D90" w:rsidP="006910B5">
      <w:pPr>
        <w:widowControl/>
        <w:spacing w:before="100" w:beforeAutospacing="1" w:after="100" w:afterAutospacing="1" w:line="240" w:lineRule="exact"/>
        <w:jc w:val="both"/>
        <w:rPr>
          <w:rFonts w:ascii="Times New Roman" w:eastAsia="新細明體" w:hAnsi="Times New Roman" w:cs="Times New Roman"/>
          <w:kern w:val="0"/>
          <w:szCs w:val="24"/>
        </w:rPr>
      </w:pPr>
      <w:r w:rsidRPr="00C00D90">
        <w:rPr>
          <w:rFonts w:ascii="Times New Roman" w:eastAsia="新細明體" w:hAnsi="Times New Roman" w:cs="Times New Roman"/>
          <w:b/>
          <w:bCs/>
          <w:kern w:val="0"/>
          <w:szCs w:val="24"/>
        </w:rPr>
        <w:t xml:space="preserve">Ali </w:t>
      </w:r>
      <w:proofErr w:type="spellStart"/>
      <w:r w:rsidRPr="00C00D90">
        <w:rPr>
          <w:rFonts w:ascii="Times New Roman" w:eastAsia="新細明體" w:hAnsi="Times New Roman" w:cs="Times New Roman"/>
          <w:b/>
          <w:bCs/>
          <w:kern w:val="0"/>
          <w:szCs w:val="24"/>
        </w:rPr>
        <w:t>Zahabi</w:t>
      </w:r>
      <w:proofErr w:type="spellEnd"/>
      <w:r w:rsidRPr="00C00D90">
        <w:rPr>
          <w:rFonts w:ascii="Times New Roman" w:eastAsia="新細明體" w:hAnsi="Times New Roman" w:cs="Times New Roman"/>
          <w:b/>
          <w:bCs/>
          <w:kern w:val="0"/>
          <w:szCs w:val="24"/>
        </w:rPr>
        <w:t>, PhD</w:t>
      </w:r>
      <w:r w:rsidRPr="00C00D90">
        <w:rPr>
          <w:rFonts w:ascii="Times New Roman" w:eastAsia="新細明體" w:hAnsi="Times New Roman" w:cs="Times New Roman"/>
          <w:kern w:val="0"/>
          <w:szCs w:val="24"/>
        </w:rPr>
        <w:br/>
        <w:t xml:space="preserve">Lecturer, School of Liberal Arts, King Mongkut's University of Technology Thonburi (KMUTT), Thailand. He received his PhD in Applied Linguistics from </w:t>
      </w:r>
      <w:proofErr w:type="spellStart"/>
      <w:r w:rsidRPr="00C00D90">
        <w:rPr>
          <w:rFonts w:ascii="Times New Roman" w:eastAsia="新細明體" w:hAnsi="Times New Roman" w:cs="Times New Roman"/>
          <w:kern w:val="0"/>
          <w:szCs w:val="24"/>
        </w:rPr>
        <w:t>Universiti</w:t>
      </w:r>
      <w:proofErr w:type="spellEnd"/>
      <w:r w:rsidRPr="00C00D90">
        <w:rPr>
          <w:rFonts w:ascii="Times New Roman" w:eastAsia="新細明體" w:hAnsi="Times New Roman" w:cs="Times New Roman"/>
          <w:kern w:val="0"/>
          <w:szCs w:val="24"/>
        </w:rPr>
        <w:t xml:space="preserve"> </w:t>
      </w:r>
      <w:proofErr w:type="spellStart"/>
      <w:r w:rsidRPr="00C00D90">
        <w:rPr>
          <w:rFonts w:ascii="Times New Roman" w:eastAsia="新細明體" w:hAnsi="Times New Roman" w:cs="Times New Roman"/>
          <w:kern w:val="0"/>
          <w:szCs w:val="24"/>
        </w:rPr>
        <w:t>Sains</w:t>
      </w:r>
      <w:proofErr w:type="spellEnd"/>
      <w:r w:rsidRPr="00C00D90">
        <w:rPr>
          <w:rFonts w:ascii="Times New Roman" w:eastAsia="新細明體" w:hAnsi="Times New Roman" w:cs="Times New Roman"/>
          <w:kern w:val="0"/>
          <w:szCs w:val="24"/>
        </w:rPr>
        <w:t xml:space="preserve"> Malaysia. He has more than 15 years of teaching experience at the academic level, mostly in Southeast Asia (Malaysia, Thailand). His research interests include language assessment, semiotics, and task-based language teaching.</w:t>
      </w:r>
    </w:p>
    <w:p w:rsidR="004B4598" w:rsidRPr="00C00D90" w:rsidRDefault="006910B5" w:rsidP="006910B5">
      <w:pPr>
        <w:spacing w:line="240" w:lineRule="exact"/>
        <w:jc w:val="both"/>
        <w:rPr>
          <w:rFonts w:ascii="Times New Roman" w:hAnsi="Times New Roman" w:cs="Times New Roman"/>
          <w:szCs w:val="24"/>
        </w:rPr>
      </w:pPr>
    </w:p>
    <w:sectPr w:rsidR="004B4598" w:rsidRPr="00C00D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764B1"/>
    <w:multiLevelType w:val="multilevel"/>
    <w:tmpl w:val="524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41403"/>
    <w:multiLevelType w:val="multilevel"/>
    <w:tmpl w:val="B8A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F2BB7"/>
    <w:multiLevelType w:val="multilevel"/>
    <w:tmpl w:val="7F8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B16A5"/>
    <w:multiLevelType w:val="multilevel"/>
    <w:tmpl w:val="FAD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A50A4"/>
    <w:multiLevelType w:val="multilevel"/>
    <w:tmpl w:val="B7F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90"/>
    <w:rsid w:val="000B0A4C"/>
    <w:rsid w:val="001D2C2E"/>
    <w:rsid w:val="006910B5"/>
    <w:rsid w:val="00C00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70A"/>
  <w15:chartTrackingRefBased/>
  <w15:docId w15:val="{2D7AA1E0-C457-4812-8349-97CBD12C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olcommunications.com/call_for_papers/?utm_source=chatgpt.com" TargetMode="External"/><Relationship Id="rId13" Type="http://schemas.openxmlformats.org/officeDocument/2006/relationships/hyperlink" Target="http://hdl.handle.net/10125/73443?utm_source=chatgp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zaha@kmutt.ac.th" TargetMode="External"/><Relationship Id="rId12" Type="http://schemas.openxmlformats.org/officeDocument/2006/relationships/hyperlink" Target="https://doi.org/10.1111/lang.12224?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55/2021/8812542?utm_source=chatgpt.com" TargetMode="External"/><Relationship Id="rId1" Type="http://schemas.openxmlformats.org/officeDocument/2006/relationships/numbering" Target="numbering.xml"/><Relationship Id="rId6" Type="http://schemas.openxmlformats.org/officeDocument/2006/relationships/hyperlink" Target="mailto:Ben.Beaumont@trinitycollege.com" TargetMode="External"/><Relationship Id="rId11" Type="http://schemas.openxmlformats.org/officeDocument/2006/relationships/hyperlink" Target="https://doi.org/10.1080/17439884.2020.1786399?utm_source=chatgpt.com" TargetMode="External"/><Relationship Id="rId5" Type="http://schemas.openxmlformats.org/officeDocument/2006/relationships/hyperlink" Target="mailto:sfchung@nccu.edu.tw" TargetMode="External"/><Relationship Id="rId15" Type="http://schemas.openxmlformats.org/officeDocument/2006/relationships/hyperlink" Target="http://llt.msu.edu/issues/june2016/reinderswhite.pdf?utm_source=chatgpt.com" TargetMode="External"/><Relationship Id="rId10" Type="http://schemas.openxmlformats.org/officeDocument/2006/relationships/hyperlink" Target="mailto:sfchung@nccu.edu.tw" TargetMode="External"/><Relationship Id="rId4" Type="http://schemas.openxmlformats.org/officeDocument/2006/relationships/webSettings" Target="webSettings.xml"/><Relationship Id="rId9" Type="http://schemas.openxmlformats.org/officeDocument/2006/relationships/hyperlink" Target="https://www.tesolcommunications.com?utm_source=chatgpt.com" TargetMode="External"/><Relationship Id="rId14" Type="http://schemas.openxmlformats.org/officeDocument/2006/relationships/hyperlink" Target="https://doi.org/10.1017/S095834401200002X?utm_source=chatgp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2025-09-01T23:35:00Z</dcterms:created>
  <dcterms:modified xsi:type="dcterms:W3CDTF">2025-09-01T23:46:00Z</dcterms:modified>
</cp:coreProperties>
</file>